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DBJ25420100003446851</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湖北凤来游酒店管理有限公司销售的鲜鸡蛋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11月21日抽自湖北凤来游酒店管理有限公司销售的鲜鸡蛋，</w:t>
      </w:r>
      <w:bookmarkEnd w:id="0"/>
      <w:r>
        <w:rPr>
          <w:rFonts w:hint="eastAsia" w:eastAsia="仿宋_GB2312"/>
          <w:sz w:val="32"/>
          <w:szCs w:val="32"/>
        </w:rPr>
        <w:t>多西环素项目不符合GB 31650.1-2022《食品安全国家标准 食品中41种兽药最大残留限量》要求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kern w:val="2"/>
          <w:sz w:val="32"/>
          <w:szCs w:val="32"/>
          <w:lang w:val="en-US" w:eastAsia="zh-CN" w:bidi="ar-SA"/>
        </w:rPr>
        <w:t>查，当事人经营兽药残留含量超过食品安全标准限量鲜鸡蛋的行为违反了《食用农产品市场销售质量安全监督管理办法》第十五条第一款“禁止销售者采购、销售食品安全法第三十四条规定情形的食用农产品。”和《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未完全履行进货查验义务的行为违反了《中华人民共和国食品安全法》第五十三条第一款“食品经营者采购食品，应当查验供货者的许可证和食品出厂检验合格证或者其他合格证明（以下称合格证明文件）。”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通过查询国家企业信用信息公示系统显示无行政处罚信息。查询湖北市场监管智慧监管一张网（协同执法办案）显示有一立案信息，该案件为</w:t>
      </w:r>
      <w:r>
        <w:rPr>
          <w:rFonts w:hint="default" w:ascii="Times New Roman" w:hAnsi="Times New Roman" w:eastAsia="仿宋_GB2312" w:cs="Times New Roman"/>
          <w:b w:val="0"/>
          <w:bCs w:val="0"/>
          <w:kern w:val="2"/>
          <w:sz w:val="32"/>
          <w:szCs w:val="32"/>
          <w:lang w:val="en-US" w:eastAsia="zh-CN" w:bidi="ar-SA"/>
        </w:rPr>
        <w:t>2025</w:t>
      </w:r>
      <w:r>
        <w:rPr>
          <w:rFonts w:hint="eastAsia" w:ascii="Times New Roman" w:hAnsi="Times New Roman" w:eastAsia="仿宋_GB2312" w:cs="Times New Roman"/>
          <w:b w:val="0"/>
          <w:bCs w:val="0"/>
          <w:kern w:val="2"/>
          <w:sz w:val="32"/>
          <w:szCs w:val="32"/>
          <w:lang w:val="en-US" w:eastAsia="zh-CN" w:bidi="ar-SA"/>
        </w:rPr>
        <w:t>年</w:t>
      </w:r>
      <w:r>
        <w:rPr>
          <w:rFonts w:hint="default" w:ascii="Times New Roman" w:hAnsi="Times New Roman" w:eastAsia="仿宋_GB2312" w:cs="Times New Roman"/>
          <w:b w:val="0"/>
          <w:bCs w:val="0"/>
          <w:kern w:val="2"/>
          <w:sz w:val="32"/>
          <w:szCs w:val="32"/>
          <w:lang w:val="en-US" w:eastAsia="zh-CN" w:bidi="ar-SA"/>
        </w:rPr>
        <w:t>12</w:t>
      </w:r>
      <w:r>
        <w:rPr>
          <w:rFonts w:hint="eastAsia" w:ascii="Times New Roman" w:hAnsi="Times New Roman" w:eastAsia="仿宋_GB2312" w:cs="Times New Roman"/>
          <w:b w:val="0"/>
          <w:bCs w:val="0"/>
          <w:kern w:val="2"/>
          <w:sz w:val="32"/>
          <w:szCs w:val="32"/>
          <w:lang w:val="en-US" w:eastAsia="zh-CN" w:bidi="ar-SA"/>
        </w:rPr>
        <w:t>月</w:t>
      </w:r>
      <w:r>
        <w:rPr>
          <w:rFonts w:hint="default" w:ascii="Times New Roman" w:hAnsi="Times New Roman" w:eastAsia="仿宋_GB2312" w:cs="Times New Roman"/>
          <w:b w:val="0"/>
          <w:bCs w:val="0"/>
          <w:kern w:val="2"/>
          <w:sz w:val="32"/>
          <w:szCs w:val="32"/>
          <w:lang w:val="en-US" w:eastAsia="zh-CN" w:bidi="ar-SA"/>
        </w:rPr>
        <w:t>8</w:t>
      </w:r>
      <w:r>
        <w:rPr>
          <w:rFonts w:hint="eastAsia" w:ascii="Times New Roman" w:hAnsi="Times New Roman" w:eastAsia="仿宋_GB2312" w:cs="Times New Roman"/>
          <w:b w:val="0"/>
          <w:bCs w:val="0"/>
          <w:kern w:val="2"/>
          <w:sz w:val="32"/>
          <w:szCs w:val="32"/>
          <w:lang w:val="en-US" w:eastAsia="zh-CN" w:bidi="ar-SA"/>
        </w:rPr>
        <w:t>日立案的鲜鸡蛋抽检不合格案，即本案。当事人系首次违法，且当事人张贴召回公告后，截止案件调查终结，涉案批次食品无召回，未收到客人反馈不适情况，后续无销售该批次产品。当事人提供了近期采购鲜鸡蛋履行进货查验义务的材料。符合《中华人民共和国行政处罚法》第三十三条第一款“违法行为轻微并及时改正，没有造成危害后果的，不予行政处罚。初次违法且危害后果轻微并及时改正的，可以不予行政处罚。”的规定，不予行政处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经营兽药残留含量超过食品安全标准限量鲜鸡蛋的行为违反了《食用农产品市场销售质量安全监督管理办法》第十五条第一款和《中华人民共和国食品安全法》第三十四条第一款第二项的规定，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及《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的规定，给予行政处罚。由于当事人系首次违法，并及时改正，依据《中华人民共和国行政处罚法》第三十三条第一款“违法行为轻微并及时改正，没有造成危害后果的，不予行政处罚。初次违法且危害后果轻微并及时改正的，可以不予行政处罚。”规定，不予行政处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未完全履行进货查验义务的行为违反了《中华人民共和国食品安全》第五十三条第一款的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应当给予警告处罚。由于当事人系首次违法，并及时改正，依据《中华人民共和国行政处罚法》第三十三条第一款“违法行为轻微并及时改正，没有造成危害后果的，不予行政处罚。初次违法且危害后果轻微并及时改正的，可以不予行政处罚。”规定，不予行政处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综上所述，我局决定对当事人不予行政处罚。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w:t>
      </w:r>
      <w:r>
        <w:rPr>
          <w:rFonts w:hint="eastAsia" w:ascii="仿宋_GB2312" w:hAnsi="仿宋_GB2312" w:eastAsia="仿宋_GB2312" w:cs="仿宋_GB2312"/>
          <w:color w:val="auto"/>
          <w:sz w:val="32"/>
          <w:szCs w:val="32"/>
          <w:lang w:val="en-US" w:eastAsia="zh-CN"/>
        </w:rPr>
        <w:t>进货单和情况说明</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一是强化供应商管理体系，推行更严格的索证索票制度</w:t>
      </w:r>
      <w:r>
        <w:rPr>
          <w:rFonts w:hint="eastAsia" w:eastAsia="仿宋_GB2312"/>
          <w:sz w:val="32"/>
          <w:szCs w:val="32"/>
          <w:lang w:val="en-US" w:eastAsia="zh-CN"/>
        </w:rPr>
        <w:t>；二是完善进货查验流程；三是加强内部培训与责任落实；四是全面自查与风险排查。</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2</w:t>
      </w:r>
      <w:r>
        <w:rPr>
          <w:rFonts w:hint="default" w:eastAsia="仿宋_GB2312"/>
          <w:sz w:val="32"/>
          <w:szCs w:val="32"/>
          <w:lang w:val="en-US" w:eastAsia="zh-CN"/>
        </w:rPr>
        <w:t>月</w:t>
      </w:r>
      <w:r>
        <w:rPr>
          <w:rFonts w:hint="eastAsia" w:eastAsia="仿宋_GB2312"/>
          <w:sz w:val="32"/>
          <w:szCs w:val="32"/>
          <w:lang w:val="en-US" w:eastAsia="zh-CN"/>
        </w:rPr>
        <w:t>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6E76DB9"/>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246A97"/>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6672B42"/>
    <w:rsid w:val="26CF75BA"/>
    <w:rsid w:val="272B0385"/>
    <w:rsid w:val="272F5A50"/>
    <w:rsid w:val="27685E79"/>
    <w:rsid w:val="27B97E8D"/>
    <w:rsid w:val="27CA0CAB"/>
    <w:rsid w:val="28BD5493"/>
    <w:rsid w:val="28E7314A"/>
    <w:rsid w:val="28E750BB"/>
    <w:rsid w:val="290273F3"/>
    <w:rsid w:val="294560D8"/>
    <w:rsid w:val="297F6074"/>
    <w:rsid w:val="29F72AE8"/>
    <w:rsid w:val="2A0B496F"/>
    <w:rsid w:val="2A367E8D"/>
    <w:rsid w:val="2B8F3E3B"/>
    <w:rsid w:val="2BB57F18"/>
    <w:rsid w:val="2BED54AA"/>
    <w:rsid w:val="2C01177C"/>
    <w:rsid w:val="2D9177AD"/>
    <w:rsid w:val="2D98535F"/>
    <w:rsid w:val="2D9A572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1D20E3"/>
    <w:rsid w:val="373527DC"/>
    <w:rsid w:val="37A40015"/>
    <w:rsid w:val="38181E92"/>
    <w:rsid w:val="385D0C07"/>
    <w:rsid w:val="38645639"/>
    <w:rsid w:val="38CC5375"/>
    <w:rsid w:val="3A146709"/>
    <w:rsid w:val="3A1B20DA"/>
    <w:rsid w:val="3A200389"/>
    <w:rsid w:val="3A6C0903"/>
    <w:rsid w:val="3AD51DDA"/>
    <w:rsid w:val="3AF60AFB"/>
    <w:rsid w:val="3AFA5077"/>
    <w:rsid w:val="3B7031B2"/>
    <w:rsid w:val="3B770B56"/>
    <w:rsid w:val="3BC1660B"/>
    <w:rsid w:val="3C2E2361"/>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4375F2"/>
    <w:rsid w:val="48FE6C6E"/>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7913AF"/>
    <w:rsid w:val="50D52FBA"/>
    <w:rsid w:val="50E922F5"/>
    <w:rsid w:val="512C3BED"/>
    <w:rsid w:val="51535D1B"/>
    <w:rsid w:val="51C163D9"/>
    <w:rsid w:val="527049F9"/>
    <w:rsid w:val="52A54EA1"/>
    <w:rsid w:val="536C718F"/>
    <w:rsid w:val="53751EBA"/>
    <w:rsid w:val="53857FDF"/>
    <w:rsid w:val="539109E9"/>
    <w:rsid w:val="54182D6F"/>
    <w:rsid w:val="543B65E6"/>
    <w:rsid w:val="544C19ED"/>
    <w:rsid w:val="544D66DA"/>
    <w:rsid w:val="54987538"/>
    <w:rsid w:val="54CA7311"/>
    <w:rsid w:val="55F4617B"/>
    <w:rsid w:val="56C22E2C"/>
    <w:rsid w:val="56FB56AD"/>
    <w:rsid w:val="57BF307B"/>
    <w:rsid w:val="59184D5F"/>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D86461"/>
    <w:rsid w:val="5EFE71D2"/>
    <w:rsid w:val="5F0F0FBD"/>
    <w:rsid w:val="5F1F592B"/>
    <w:rsid w:val="5F5E2CAF"/>
    <w:rsid w:val="5F726AFE"/>
    <w:rsid w:val="5FA540A4"/>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F50571"/>
    <w:rsid w:val="66050144"/>
    <w:rsid w:val="661831AB"/>
    <w:rsid w:val="66483949"/>
    <w:rsid w:val="664A660B"/>
    <w:rsid w:val="66637A7C"/>
    <w:rsid w:val="668D6B97"/>
    <w:rsid w:val="672E6FB2"/>
    <w:rsid w:val="679276B1"/>
    <w:rsid w:val="67FE6C38"/>
    <w:rsid w:val="68472ABA"/>
    <w:rsid w:val="68BF2D88"/>
    <w:rsid w:val="69133681"/>
    <w:rsid w:val="692348B6"/>
    <w:rsid w:val="69761A44"/>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EC167E8"/>
    <w:rsid w:val="6F583F5A"/>
    <w:rsid w:val="6F7B7803"/>
    <w:rsid w:val="700E3121"/>
    <w:rsid w:val="70F42CBC"/>
    <w:rsid w:val="7184039E"/>
    <w:rsid w:val="71D67EA4"/>
    <w:rsid w:val="71E421CB"/>
    <w:rsid w:val="72351068"/>
    <w:rsid w:val="726807DE"/>
    <w:rsid w:val="726D5F54"/>
    <w:rsid w:val="72803949"/>
    <w:rsid w:val="72DC770E"/>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914FB2"/>
    <w:rsid w:val="79BF118C"/>
    <w:rsid w:val="79E5652D"/>
    <w:rsid w:val="7A0803AC"/>
    <w:rsid w:val="7A0B546E"/>
    <w:rsid w:val="7B5D411E"/>
    <w:rsid w:val="7BE744BE"/>
    <w:rsid w:val="7BE8031C"/>
    <w:rsid w:val="7C3B7D69"/>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2026-02-05T08:19:21Z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